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jc w:val="center"/>
        <w:rPr>
          <w:color w:val="auto"/>
        </w:rPr>
      </w:pPr>
      <w:r>
        <w:rPr>
          <w:b/>
          <w:color w:val="auto"/>
        </w:rPr>
        <w:t>Zápis č. 2 ze zasedání MR OMS dne 8. 2. 2022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5 členů MR – MR je usnášení schopna.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ověřovatelka – Ivanka Soukupová</w:t>
      </w:r>
    </w:p>
    <w:p>
      <w:pPr>
        <w:pStyle w:val="Normal"/>
        <w:spacing w:before="0" w:after="113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Kontrola úkolů ze zasedání MR 11.1.2022:  - úkol pro KPK trvá, ostatní úkoly splněny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ČMMJ: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reakce předsedy ČMMJ na programové prohlášení vlády ČR pro oblast zemědělství ( „ posílení pravomocí vlastníků půdy a hospodářů v organizaci honiteb, včetně řešení problémů s přemnoženou zvěří a škodami“ ) - slib vlády k řešení neexistujícího problému, pravomoci vlastníků dostatečné – nejsou ale důsledně uplatňovány a využívány, snižování výměry honiteb – proti zájmům zvěře, podmínkám a pohody života zvěře, respektování výsledků demokratického rozhodování vlastníky, podpora neschváleného vládního návrhu novelizace ZoM 2021, potřeba diskuse, dobré vůle a shody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vyhlášení 20. ročníku soutěže pro děti „Mé toulky za zvěří“ – 3 části ( výtvarná, poezie, foto ) - do 31.3.2022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17. - 21.8.2022 kurz pro vedoucí mysliveckých kroužků – SLŠ Hranice, podporováno MZe, získání certifikátu lesního pedagoga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vyhlášení 52. ročníku Národního finále soutěže o Zlatou srnčí trofej – rekreační středisko Bílá ( Beskydy, Moravskoslezský kraj ) - 11.-24.7.2022 kategorie A , 25.7.-7.8.2022 kategorie B, cena 5 200,- Kč/účastníka ( vyslaným vítězům okresního kola ½ ceny hradí OMS 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stanovisko SVS k dotazu ČMMJ ve věci způsobu likvidace kadáverů nepůvodních invazních druhů zvěře, které lze od 1.1.2022 lovit ( novela Z.č. 114/1992 Sb. ) - odkaz na nařízení EP č. 1069/2009, které se nevztahuje na těla a jejich části bez podezření na infekci nebo onemocnění přenosné na člověka – lze kadávery likvidovat v přírodě, SVS z nákazových důvodu však doporučuje likvidaci v kafilerii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monitoring ČMMJ ( DR, Klub sokolníků ) případu podezření týrání zvířat ( Radhošť u Zámrsk - Vysoké Mýto ) - draví ptáci a malé šelmy ( liška, rys, dikobraz ) držené bývalým sokolníkem – řeší PČR, SVS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web ČMMJ - testy z Národního finále ZST 2021 – možnost ověření náročnosti</w:t>
      </w:r>
    </w:p>
    <w:p>
      <w:pPr>
        <w:pStyle w:val="ListParagraph"/>
        <w:numPr>
          <w:ilvl w:val="0"/>
          <w:numId w:val="2"/>
        </w:numPr>
        <w:spacing w:lineRule="auto" w:line="240" w:before="0" w:after="57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revize interních předpisů ČMMJ – metodické pokyny ( 18 ), řády  ( 20 ), směrnice ( 21 ).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OMS: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administrativa s kurzy z myslivosti 2021-2022 a 2022-2023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organizace a zajištění podmínek pro účastníky v objektu SML Jihlava, kde kurz probíhá</w:t>
      </w:r>
    </w:p>
    <w:p>
      <w:pPr>
        <w:pStyle w:val="ListParagraph"/>
        <w:numPr>
          <w:ilvl w:val="0"/>
          <w:numId w:val="2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požadavek na udělení VM pro člena MS Kozlov s podmínkou nepředání zástupcem OMS na okresním sněmu – návrh vrátit zpět MS k vlastnímu vyřízení v souladu se směrnicí ČMMJ.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Josef Prokeš: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informace z jednání s Pavlem Hájkem, radním Kraje Vysočina pro oblast lesního a vodního hospodářství, myslivost a ŽP – 27.1.2022:</w:t>
      </w:r>
    </w:p>
    <w:p>
      <w:pPr>
        <w:pStyle w:val="ListParagraph"/>
        <w:spacing w:lineRule="auto" w:line="240" w:before="0" w:after="0"/>
        <w:ind w:left="1304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 představení ČMMJ a její organizační struktury</w:t>
      </w:r>
    </w:p>
    <w:p>
      <w:pPr>
        <w:pStyle w:val="ListParagraph"/>
        <w:spacing w:lineRule="auto" w:line="240" w:before="0" w:after="0"/>
        <w:ind w:left="1304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 působnost zástupce kraje v MR ČMMJ</w:t>
      </w:r>
    </w:p>
    <w:p>
      <w:pPr>
        <w:pStyle w:val="ListParagraph"/>
        <w:spacing w:lineRule="auto" w:line="240" w:before="0" w:after="0"/>
        <w:ind w:left="1304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 dosavadní spolupráce mezi krajem a OMS-y a možnosti v dalším období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informace o jednání zástupců ČMMJ a SVOL – 2.2.2022 – problematika novelizace ZoM včetně podpory a prosazování vlastních názorů a návrhů, možnosti vzájemné podpory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seznam vydaných LL poskytnut ČMMJ a PČR – PČR ve spolupráci s DR ČMMJ  a Klubem sokolníků ČMMJ se zabývá podanými podněty ve věci možného zneužití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hospodářský výsledek OMS za rok 2021:</w:t>
      </w:r>
    </w:p>
    <w:p>
      <w:pPr>
        <w:pStyle w:val="ListParagraph"/>
        <w:spacing w:lineRule="auto" w:line="240" w:before="0" w:after="113"/>
        <w:ind w:left="1304" w:hanging="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výkony 742 498,12 Kč,  náklady 689 613,95 Kč, zisk 52 884,17 Kč.</w:t>
      </w:r>
    </w:p>
    <w:p>
      <w:pPr>
        <w:pStyle w:val="Normal"/>
        <w:widowControl w:val="false"/>
        <w:tabs>
          <w:tab w:val="clear" w:pos="709"/>
          <w:tab w:val="left" w:pos="735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Pošta:</w:t>
      </w:r>
    </w:p>
    <w:p>
      <w:pPr>
        <w:pStyle w:val="Normal"/>
        <w:widowControl w:val="false"/>
        <w:tabs>
          <w:tab w:val="clear" w:pos="709"/>
          <w:tab w:val="left" w:pos="390" w:leader="none"/>
        </w:tabs>
        <w:spacing w:lineRule="auto" w:line="240" w:before="0" w:after="0"/>
        <w:ind w:left="397" w:hanging="397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2"/>
          <w:szCs w:val="22"/>
        </w:rPr>
        <w:t>Kraj Vysočina</w:t>
      </w:r>
    </w:p>
    <w:p>
      <w:pPr>
        <w:pStyle w:val="Normal"/>
        <w:widowControl w:val="false"/>
        <w:tabs>
          <w:tab w:val="clear" w:pos="709"/>
          <w:tab w:val="left" w:pos="735" w:leader="none"/>
        </w:tabs>
        <w:bidi w:val="0"/>
        <w:spacing w:lineRule="auto" w:line="240" w:before="0" w:after="0"/>
        <w:ind w:left="737" w:right="0" w:hanging="340"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4"/>
          <w:szCs w:val="24"/>
        </w:rPr>
        <w:t>-</w:t>
        <w:tab/>
      </w:r>
      <w:r>
        <w:rPr>
          <w:rFonts w:cs="Calibri" w:cstheme="minorHAnsi"/>
          <w:color w:val="auto"/>
          <w:sz w:val="24"/>
          <w:szCs w:val="24"/>
        </w:rPr>
        <w:t>pozvání na jednání KKR dne 17.2.2022 od 9.°° hod v budově KÚ v Jihlavě</w:t>
      </w:r>
    </w:p>
    <w:p>
      <w:pPr>
        <w:pStyle w:val="Normal"/>
        <w:widowControl w:val="false"/>
        <w:tabs>
          <w:tab w:val="clear" w:pos="709"/>
          <w:tab w:val="left" w:pos="390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000000"/>
          <w:sz w:val="22"/>
          <w:szCs w:val="22"/>
        </w:rPr>
        <w:t xml:space="preserve">ČMMJ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pozvánka na školení střeleckých rozhodčích 19.-20.3.2022, střelnice Hvězda Kotojedy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platba ČP přes internet - nutnost zasílání členských průkazek členů ČMMJ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cca březen 2022 plánovaný tisk nových členských průkazek s hromadnou distribucí do OMS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opětovná výzva k poskytnutí kontaktů na uživatele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informace, sdělení</w:t>
      </w:r>
    </w:p>
    <w:p>
      <w:pPr>
        <w:pStyle w:val="Normal"/>
        <w:widowControl w:val="false"/>
        <w:tabs>
          <w:tab w:val="clear" w:pos="709"/>
          <w:tab w:val="left" w:pos="390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000000"/>
          <w:sz w:val="22"/>
          <w:szCs w:val="22"/>
        </w:rPr>
        <w:t>KVS Kraje Vysočina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ukončení výkupu lišek na monitoring vztekliny jaro 2022, MR vzala na vědomí</w:t>
      </w:r>
    </w:p>
    <w:p>
      <w:pPr>
        <w:pStyle w:val="Normal"/>
        <w:widowControl w:val="false"/>
        <w:tabs>
          <w:tab w:val="clear" w:pos="709"/>
          <w:tab w:val="left" w:pos="390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000000"/>
          <w:sz w:val="22"/>
          <w:szCs w:val="22"/>
        </w:rPr>
        <w:t>Panatura spolek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390" w:leader="none"/>
        </w:tabs>
        <w:spacing w:lineRule="auto" w:line="240" w:before="0" w:after="113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nabídka mysliveckých tiskopisů, MR vzala na vědomí</w:t>
      </w:r>
      <w:r>
        <w:rPr>
          <w:rFonts w:cs="Calibri" w:cstheme="minorHAnsi"/>
          <w:bCs/>
          <w:color w:val="FF0000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Diskuse: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Ivanka Soukupová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</w:rPr>
        <w:t>přezkoušení čekatelů na funkci rozhodčího z výkonu loveckých psů – přihlášeni Michaela Lacinová Číšecká, Pavel Chvátal, František Černý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členové MR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společná diskuse o návrhu novely ZoM podporovaného hnutím Duha a SVOL – definice myslivosti, práva vlastníků honebních pozemků na lov na vlastních pozemcích – podíl na škodách, postavení a (ne)činnost HS, tlak na stanovení minimální výměry soukromých honiteb – 200-250 ha, pronájem honiteb LČR, výčet zvěře, apod.</w:t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>
          <w:bCs/>
          <w:color w:val="auto"/>
        </w:rPr>
      </w:pPr>
      <w:r>
        <w:rPr>
          <w:b/>
          <w:color w:val="auto"/>
        </w:rPr>
        <w:t>Roman Navrátil</w:t>
      </w:r>
    </w:p>
    <w:p>
      <w:pPr>
        <w:pStyle w:val="ListParagraph"/>
        <w:widowControl w:val="false"/>
        <w:tabs>
          <w:tab w:val="clear" w:pos="709"/>
          <w:tab w:val="left" w:pos="390" w:leader="none"/>
        </w:tabs>
        <w:spacing w:lineRule="auto" w:line="240" w:before="0" w:after="0"/>
        <w:ind w:left="737" w:hanging="34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auto"/>
        </w:rPr>
        <w:t>-</w:t>
        <w:tab/>
        <w:t>30.4.2022 myslivecké slavnosti na hradě Roštejn – konání okresního kola ZST podle požadavků na zapojení OMS , možnost jiného termínu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390" w:leader="none"/>
        </w:tabs>
        <w:spacing w:lineRule="auto" w:line="240" w:before="0" w:after="57"/>
        <w:ind w:left="397" w:hanging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auto"/>
        </w:rPr>
        <w:t>dotaz na počet psíků mývalovitých odevzdaných na KVS</w:t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>
          <w:bCs/>
          <w:color w:val="auto"/>
        </w:rPr>
      </w:pPr>
      <w:r>
        <w:rPr>
          <w:b/>
          <w:color w:val="auto"/>
        </w:rPr>
        <w:t>Vít Fridrichovský</w:t>
      </w:r>
    </w:p>
    <w:p>
      <w:pPr>
        <w:pStyle w:val="ListParagraph"/>
        <w:widowControl w:val="false"/>
        <w:tabs>
          <w:tab w:val="clear" w:pos="709"/>
          <w:tab w:val="left" w:pos="390" w:leader="none"/>
        </w:tabs>
        <w:spacing w:lineRule="auto" w:line="240" w:before="0" w:after="0"/>
        <w:ind w:left="737" w:hanging="34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auto"/>
        </w:rPr>
        <w:t>-</w:t>
        <w:tab/>
        <w:t>nutnost větší propagace střeleckých akcí OMS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390" w:leader="none"/>
        </w:tabs>
        <w:spacing w:lineRule="auto" w:line="240" w:before="0" w:after="0"/>
        <w:ind w:left="397" w:hanging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auto"/>
        </w:rPr>
        <w:t>účelnější využití finančních prostředků OMS v současnosti uložených na účtech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b/>
          <w:bCs/>
          <w:color w:val="auto"/>
        </w:rPr>
        <w:t>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počet členů ČMMJ evidovaných OMS k 8.2.2022– 732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bCs/>
          <w:color w:val="auto"/>
        </w:rPr>
        <w:t>podklady pro jednání KKR  - 27 srážek se zvěří, požadavek na PO v délce 5,54 km.</w:t>
      </w:r>
    </w:p>
    <w:p>
      <w:pPr>
        <w:pStyle w:val="ListParagraph"/>
        <w:numPr>
          <w:ilvl w:val="0"/>
          <w:numId w:val="0"/>
        </w:numPr>
        <w:spacing w:lineRule="auto" w:line="240" w:before="0" w:after="113"/>
        <w:ind w:left="720" w:hanging="0"/>
        <w:contextualSpacing/>
        <w:jc w:val="both"/>
        <w:rPr>
          <w:bCs/>
          <w:color w:val="auto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bCs/>
          <w:color w:val="auto"/>
        </w:rPr>
      </w:pPr>
      <w:r>
        <w:rPr>
          <w:b/>
          <w:bCs/>
          <w:color w:val="auto"/>
          <w:sz w:val="24"/>
          <w:szCs w:val="24"/>
        </w:rPr>
        <w:t>MR pověřila: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auto"/>
        </w:rPr>
        <w:t xml:space="preserve">- </w:t>
        <w:tab/>
        <w:t>předsedu MR: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auto"/>
        </w:rPr>
        <w:tab/>
        <w:t>- zjistit podmínky vstupu a možnosti kontroly údajů v databázi ČP – vydání nových ČP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auto"/>
        </w:rPr>
        <w:tab/>
        <w:t>- vyřídit dotaz ve věci psíků mývalovitých odevzdaných na KVS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auto"/>
        </w:rPr>
        <w:t xml:space="preserve">- </w:t>
        <w:tab/>
        <w:t>předsedu KPK: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auto"/>
        </w:rPr>
        <w:tab/>
        <w:t>- rozhodnout o termínu konání okresního kola ZST</w:t>
      </w:r>
    </w:p>
    <w:p>
      <w:pPr>
        <w:pStyle w:val="ListParagraph"/>
        <w:spacing w:lineRule="auto" w:line="240" w:before="0" w:after="113"/>
        <w:ind w:left="737" w:hanging="340"/>
        <w:contextualSpacing/>
        <w:jc w:val="both"/>
        <w:rPr>
          <w:bCs/>
          <w:color w:val="auto"/>
        </w:rPr>
      </w:pPr>
      <w:r>
        <w:rPr>
          <w:color w:val="auto"/>
        </w:rPr>
        <w:tab/>
        <w:t>- zastupovat OMS v organizaci a zajišťování mysliveckých slavností na Roštejně.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bCs/>
          <w:color w:val="auto"/>
        </w:rPr>
      </w:pPr>
      <w:r>
        <w:rPr>
          <w:b/>
          <w:bCs/>
          <w:color w:val="auto"/>
          <w:sz w:val="24"/>
          <w:szCs w:val="24"/>
        </w:rPr>
        <w:t>MR revokovala:</w:t>
      </w:r>
    </w:p>
    <w:p>
      <w:pPr>
        <w:pStyle w:val="ListParagraph"/>
        <w:widowControl/>
        <w:bidi w:val="0"/>
        <w:spacing w:lineRule="auto" w:line="240" w:before="0" w:after="57"/>
        <w:ind w:left="737" w:right="0" w:hanging="340"/>
        <w:contextualSpacing/>
        <w:jc w:val="both"/>
        <w:rPr>
          <w:bCs/>
          <w:color w:val="auto"/>
        </w:rPr>
      </w:pPr>
      <w:r>
        <w:rPr>
          <w:b w:val="false"/>
          <w:bCs w:val="false"/>
          <w:color w:val="auto"/>
          <w:sz w:val="24"/>
          <w:szCs w:val="24"/>
        </w:rPr>
        <w:t>-</w:t>
        <w:tab/>
        <w:t xml:space="preserve">rozhodnutí </w:t>
      </w:r>
      <w:r>
        <w:rPr>
          <w:rFonts w:eastAsia="Calibri"/>
          <w:b w:val="false"/>
          <w:bCs w:val="false"/>
          <w:color w:val="auto"/>
          <w:sz w:val="24"/>
          <w:szCs w:val="24"/>
        </w:rPr>
        <w:t>ze dne 11.1.2022 ve  věci neposkytnutí kontaktů požadovaných ČMMJ.</w:t>
      </w:r>
      <w:r>
        <w:rPr>
          <w:b/>
          <w:bCs/>
          <w:color w:val="auto"/>
          <w:sz w:val="24"/>
          <w:szCs w:val="24"/>
        </w:rPr>
        <w:tab/>
      </w:r>
      <w:r>
        <w:rPr>
          <w:color w:val="auto"/>
        </w:rPr>
        <w:tab/>
      </w:r>
    </w:p>
    <w:p>
      <w:pPr>
        <w:pStyle w:val="ListParagraph"/>
        <w:spacing w:lineRule="auto" w:line="240" w:before="0" w:after="0"/>
        <w:ind w:left="0" w:hanging="0"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color w:val="auto"/>
        </w:rPr>
      </w:pPr>
      <w:r>
        <w:rPr>
          <w:rFonts w:cs="Calibri" w:cstheme="minorHAnsi"/>
          <w:bCs/>
          <w:color w:val="auto"/>
        </w:rPr>
        <w:t>výsledek hospodaření OMS za rok 2021 s návrhem na převod zisku na účet nerozděleného zisku a ztrát z minulého období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vrácení návrhu MS Kozlov zpět k vlastnímu vyřízení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účast Josefa Prokeše a Marie Deržmíškové na jednání KKR 17.2.2022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bCs/>
          <w:color w:val="FF0000"/>
          <w:sz w:val="24"/>
          <w:szCs w:val="24"/>
        </w:rPr>
      </w:pPr>
      <w:r>
        <w:rPr>
          <w:color w:val="000000"/>
        </w:rPr>
        <w:t xml:space="preserve">poskytnutí kontaktů </w:t>
      </w:r>
      <w:r>
        <w:rPr>
          <w:rFonts w:eastAsia="Calibri"/>
          <w:color w:val="000000"/>
          <w:sz w:val="22"/>
        </w:rPr>
        <w:t>požadovaných</w:t>
      </w:r>
      <w:r>
        <w:rPr>
          <w:color w:val="000000"/>
        </w:rPr>
        <w:t xml:space="preserve"> ČMMJ.</w:t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  <w:t>Příští zasedání MR: 15.3.2022, 16:00 hod.</w:t>
      </w:r>
    </w:p>
    <w:p>
      <w:pPr>
        <w:pStyle w:val="Normal"/>
        <w:spacing w:lineRule="auto" w:line="24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auto"/>
        </w:rPr>
        <w:t>Zapsala: Marie Deržmíšková                                                                         Ověřila: Ivanka Soukupová</w:t>
      </w:r>
    </w:p>
    <w:sectPr>
      <w:type w:val="nextPage"/>
      <w:pgSz w:w="11906" w:h="16838"/>
      <w:pgMar w:left="720" w:right="720" w:header="0" w:top="1080" w:footer="0" w:bottom="11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f868e0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 w:hanging="0"/>
    </w:pPr>
    <w:rPr>
      <w:rFonts w:eastAsia="SimSun;宋体" w:cs="font330;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LibreOffice/6.4.0.3$Windows_X86_64 LibreOffice_project/b0a288ab3d2d4774cb44b62f04d5d28733ac6df8</Application>
  <Pages>2</Pages>
  <Words>874</Words>
  <Characters>4731</Characters>
  <CharactersWithSpaces>5615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2022-02-15T13:37:00Z</dcterms:created>
  <dc:creator>uzivatel</dc:creator>
  <dc:description/>
  <dc:language>cs-CZ</dc:language>
  <cp:lastModifiedBy/>
  <dcterms:modified xsi:type="dcterms:W3CDTF">2022-02-15T18:08:00Z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